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PETERSEN GARY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9651 KATY FREEWAY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PLAINS GP HOLDINGS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PAGP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9"/>
        <w:gridCol w:w="903"/>
        <w:gridCol w:w="771"/>
        <w:gridCol w:w="600"/>
        <w:gridCol w:w="354"/>
        <w:gridCol w:w="866"/>
        <w:gridCol w:w="471"/>
        <w:gridCol w:w="633"/>
        <w:gridCol w:w="1191"/>
        <w:gridCol w:w="1018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7,400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75,544</w:t>
            </w:r>
          </w:p>
        </w:tc>
        <w:tc>
          <w:tcPr>
            <w:tcW w:w="10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606"/>
        <w:gridCol w:w="906"/>
        <w:gridCol w:w="801"/>
        <w:gridCol w:w="66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3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Class A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7,400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Class A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6,150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6,150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Class A shares granted under Long-Term Incentive Plan (includes associated dividend equivalent rights payable in cash).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One Class A share is deliverable for each Phantom Class A share that vests.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Upon termination of service as director, other than because of death, disability or retirement.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Gary R. Petersen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1757" TargetMode="External"/><Relationship Id="rId5" Type="http://schemas.openxmlformats.org/officeDocument/2006/relationships/hyperlink" Target="http://www.sec.gov/cgi-bin/browse-edgar?action=getcompany&amp;CIK=00015819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645</Words>
  <Characters>3456</Characters>
  <CharactersWithSpaces>4008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